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ROSCI0009ZPB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Bisoca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color w:val="000000"/>
        </w:rPr>
      </w:pPr>
      <w:r w:rsidDel="00000000" w:rsidR="00000000" w:rsidRPr="00000000">
        <w:rPr>
          <w:sz w:val="22"/>
          <w:szCs w:val="22"/>
          <w:rtl w:val="0"/>
        </w:rPr>
        <w:t xml:space="preserve">☐ </w:t>
      </w:r>
      <w:r w:rsidDel="00000000" w:rsidR="00000000" w:rsidRPr="00000000">
        <w:rPr>
          <w:color w:val="000000"/>
          <w:sz w:val="22"/>
          <w:szCs w:val="22"/>
          <w:rtl w:val="0"/>
        </w:rPr>
        <w:t xml:space="preserve">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1"/>
        <w:gridCol w:w="4499"/>
        <w:tblGridChange w:id="0">
          <w:tblGrid>
            <w:gridCol w:w="4501"/>
            <w:gridCol w:w="4499"/>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5"/>
        <w:gridCol w:w="4535"/>
        <w:tblGridChange w:id="0">
          <w:tblGrid>
            <w:gridCol w:w="4465"/>
            <w:gridCol w:w="4535"/>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30,33</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2,50%</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6"/>
        <w:gridCol w:w="48"/>
        <w:gridCol w:w="3007"/>
        <w:gridCol w:w="47"/>
        <w:gridCol w:w="2962"/>
        <w:tblGridChange w:id="0">
          <w:tblGrid>
            <w:gridCol w:w="2936"/>
            <w:gridCol w:w="48"/>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12,10%</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87,90%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10,40</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(*actualizată) privind aprobarea Planului de amenajare a teritoriului național - Secțiunea a III-a - zone protejate, cu modificările și completările ulterioare - rezervația naturală RONPA0285 Pădurea "Lacurile Bisoca".</w:t>
      </w:r>
    </w:p>
    <w:p w:rsidR="00000000" w:rsidDel="00000000" w:rsidP="00000000" w:rsidRDefault="00000000" w:rsidRPr="00000000" w14:paraId="0000007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56"/>
        <w:gridCol w:w="4644"/>
        <w:tblGridChange w:id="0">
          <w:tblGrid>
            <w:gridCol w:w="4356"/>
            <w:gridCol w:w="464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7E">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rtl w:val="0"/>
              </w:rPr>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rtl w:val="0"/>
              </w:rPr>
            </w:r>
          </w:p>
          <w:p w:rsidR="00000000" w:rsidDel="00000000" w:rsidP="00000000" w:rsidRDefault="00000000" w:rsidRPr="00000000" w14:paraId="00000083">
            <w:pPr>
              <w:tabs>
                <w:tab w:val="left" w:leader="none" w:pos="720"/>
              </w:tabs>
              <w:spacing w:after="0" w:lineRule="auto"/>
              <w:rPr>
                <w:i w:val="1"/>
                <w:iCs w:val="1"/>
                <w:sz w:val="22"/>
                <w:szCs w:val="22"/>
              </w:rPr>
            </w:pPr>
            <w:r w:rsidDel="00000000" w:rsidR="00000000" w:rsidRPr="00000000">
              <w:rPr>
                <w:i w:val="1"/>
                <w:iCs w:val="1"/>
                <w:sz w:val="22"/>
                <w:szCs w:val="22"/>
                <w:rtl w:val="0"/>
              </w:rPr>
              <w:t xml:space="preserve">1352* Canis lupu</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rtl w:val="0"/>
              </w:rPr>
            </w:r>
          </w:p>
          <w:p w:rsidR="00000000" w:rsidDel="00000000" w:rsidP="00000000" w:rsidRDefault="00000000" w:rsidRPr="00000000" w14:paraId="00000085">
            <w:pPr>
              <w:tabs>
                <w:tab w:val="left" w:leader="none" w:pos="720"/>
              </w:tabs>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86">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87">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4068 Adenophora liliifolia</w:t>
            </w:r>
          </w:p>
          <w:p w:rsidR="00000000" w:rsidDel="00000000" w:rsidP="00000000" w:rsidRDefault="00000000" w:rsidRPr="00000000" w14:paraId="00000088">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4070* Campanula serrata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C">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B01.01 - plantare pădure, pe teren deschis (copaci nativi)</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B02 - Gestionarea şi utilizarea pădurii şi plantaţiei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tabs>
                <w:tab w:val="left" w:leader="none" w:pos="2052"/>
              </w:tabs>
              <w:spacing w:after="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2">
            <w:pPr>
              <w:tabs>
                <w:tab w:val="left" w:leader="none" w:pos="2052"/>
              </w:tabs>
              <w:spacing w:after="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93">
            <w:pPr>
              <w:tabs>
                <w:tab w:val="left" w:leader="none" w:pos="2052"/>
              </w:tabs>
              <w:spacing w:after="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4">
            <w:pPr>
              <w:tabs>
                <w:tab w:val="left" w:leader="none" w:pos="2052"/>
              </w:tabs>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95">
            <w:pPr>
              <w:tabs>
                <w:tab w:val="left" w:leader="none" w:pos="2052"/>
              </w:tabs>
              <w:spacing w:after="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6">
            <w:pPr>
              <w:tabs>
                <w:tab w:val="left" w:leader="none" w:pos="2052"/>
              </w:tabs>
              <w:spacing w:after="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7">
            <w:pPr>
              <w:tabs>
                <w:tab w:val="left" w:leader="none" w:pos="2052"/>
              </w:tabs>
              <w:spacing w:after="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8">
            <w:pPr>
              <w:tabs>
                <w:tab w:val="left" w:leader="none" w:pos="2052"/>
              </w:tabs>
              <w:spacing w:after="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9">
            <w:pPr>
              <w:tabs>
                <w:tab w:val="left" w:leader="none" w:pos="2052"/>
              </w:tabs>
              <w:spacing w:after="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A">
            <w:pPr>
              <w:tabs>
                <w:tab w:val="left" w:leader="none" w:pos="2052"/>
              </w:tabs>
              <w:spacing w:after="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B">
            <w:pPr>
              <w:tabs>
                <w:tab w:val="left" w:leader="none" w:pos="2052"/>
              </w:tabs>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9C">
            <w:pPr>
              <w:tabs>
                <w:tab w:val="left" w:leader="none" w:pos="2052"/>
              </w:tabs>
              <w:spacing w:after="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D">
            <w:pPr>
              <w:tabs>
                <w:tab w:val="left" w:leader="none" w:pos="2052"/>
              </w:tabs>
              <w:spacing w:after="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E">
            <w:pPr>
              <w:tabs>
                <w:tab w:val="left" w:leader="none" w:pos="2052"/>
              </w:tabs>
              <w:spacing w:after="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F">
            <w:pPr>
              <w:tabs>
                <w:tab w:val="left" w:leader="none" w:pos="2052"/>
              </w:tabs>
              <w:spacing w:after="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0">
            <w:pPr>
              <w:tabs>
                <w:tab w:val="left" w:leader="none" w:pos="2052"/>
              </w:tabs>
              <w:spacing w:after="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0">
            <w:pPr>
              <w:tabs>
                <w:tab w:val="left" w:leader="none" w:pos="2052"/>
              </w:tabs>
              <w:spacing w:after="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A1">
            <w:pPr>
              <w:tabs>
                <w:tab w:val="left" w:leader="none" w:pos="2052"/>
              </w:tabs>
              <w:spacing w:after="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2">
            <w:pPr>
              <w:tabs>
                <w:tab w:val="left" w:leader="none" w:pos="2052"/>
              </w:tabs>
              <w:spacing w:after="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3">
            <w:pPr>
              <w:tabs>
                <w:tab w:val="left" w:leader="none" w:pos="2052"/>
              </w:tabs>
              <w:spacing w:after="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4">
            <w:pPr>
              <w:tabs>
                <w:tab w:val="left" w:leader="none" w:pos="2052"/>
              </w:tabs>
              <w:spacing w:after="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5">
            <w:pPr>
              <w:tabs>
                <w:tab w:val="left" w:leader="none" w:pos="2052"/>
              </w:tabs>
              <w:spacing w:after="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6">
            <w:pPr>
              <w:tabs>
                <w:tab w:val="left" w:leader="none" w:pos="2052"/>
              </w:tabs>
              <w:spacing w:after="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7">
            <w:pPr>
              <w:tabs>
                <w:tab w:val="left" w:leader="none" w:pos="2052"/>
              </w:tabs>
              <w:spacing w:after="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8">
            <w:pPr>
              <w:tabs>
                <w:tab w:val="left" w:leader="none" w:pos="2052"/>
              </w:tabs>
              <w:spacing w:after="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9">
            <w:pPr>
              <w:tabs>
                <w:tab w:val="left" w:leader="none" w:pos="2052"/>
              </w:tabs>
              <w:spacing w:after="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A">
            <w:pPr>
              <w:tabs>
                <w:tab w:val="left" w:leader="none" w:pos="2052"/>
              </w:tabs>
              <w:spacing w:after="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B">
            <w:pPr>
              <w:tabs>
                <w:tab w:val="left" w:leader="none" w:pos="2052"/>
              </w:tabs>
              <w:spacing w:after="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C">
            <w:pPr>
              <w:tabs>
                <w:tab w:val="left" w:leader="none" w:pos="2052"/>
              </w:tabs>
              <w:spacing w:after="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tabs>
                <w:tab w:val="left" w:leader="none" w:pos="2052"/>
              </w:tabs>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19,93</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ppos2featb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485"/>
        <w:gridCol w:w="4515"/>
        <w:tblGridChange w:id="0">
          <w:tblGrid>
            <w:gridCol w:w="4485"/>
            <w:gridCol w:w="45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0C2">
            <w:pPr>
              <w:spacing w:after="0" w:lineRule="auto"/>
              <w:jc w:val="both"/>
              <w:rPr>
                <w:i w:val="1"/>
                <w:iCs w:val="1"/>
              </w:rPr>
            </w:pPr>
            <w:r w:rsidDel="00000000" w:rsidR="00000000" w:rsidRPr="00000000">
              <w:rPr>
                <w:i w:val="1"/>
                <w:iCs w:val="1"/>
                <w:sz w:val="22"/>
                <w:szCs w:val="22"/>
                <w:rtl w:val="0"/>
              </w:rPr>
              <w:t xml:space="preserve">9130 Păduri de fag de tip Asperulo-Fagetum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rtl w:val="0"/>
              </w:rPr>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6">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rtl w:val="0"/>
              </w:rPr>
            </w:r>
          </w:p>
          <w:p w:rsidR="00000000" w:rsidDel="00000000" w:rsidP="00000000" w:rsidRDefault="00000000" w:rsidRPr="00000000" w14:paraId="000000C7">
            <w:pPr>
              <w:tabs>
                <w:tab w:val="left" w:leader="none" w:pos="720"/>
              </w:tabs>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C8">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rtl w:val="0"/>
              </w:rPr>
            </w:r>
          </w:p>
          <w:p w:rsidR="00000000" w:rsidDel="00000000" w:rsidP="00000000" w:rsidRDefault="00000000" w:rsidRPr="00000000" w14:paraId="000000C9">
            <w:pPr>
              <w:tabs>
                <w:tab w:val="left" w:leader="none" w:pos="720"/>
              </w:tabs>
              <w:spacing w:after="0" w:lineRule="auto"/>
              <w:rPr>
                <w:i w:val="1"/>
                <w:iCs w:val="1"/>
                <w:sz w:val="22"/>
                <w:szCs w:val="22"/>
              </w:rPr>
            </w:pPr>
            <w:r w:rsidDel="00000000" w:rsidR="00000000" w:rsidRPr="00000000">
              <w:rPr>
                <w:i w:val="1"/>
                <w:iCs w:val="1"/>
                <w:sz w:val="22"/>
                <w:szCs w:val="22"/>
                <w:rtl w:val="0"/>
              </w:rPr>
              <w:t xml:space="preserve">1065 Euphydryas aurinia</w:t>
            </w:r>
          </w:p>
          <w:p w:rsidR="00000000" w:rsidDel="00000000" w:rsidP="00000000" w:rsidRDefault="00000000" w:rsidRPr="00000000" w14:paraId="000000CA">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rtl w:val="0"/>
              </w:rPr>
            </w:r>
          </w:p>
          <w:p w:rsidR="00000000" w:rsidDel="00000000" w:rsidP="00000000" w:rsidRDefault="00000000" w:rsidRPr="00000000" w14:paraId="000000CB">
            <w:pPr>
              <w:tabs>
                <w:tab w:val="left" w:leader="none" w:pos="720"/>
              </w:tabs>
              <w:spacing w:after="0" w:lineRule="auto"/>
              <w:rPr>
                <w:i w:val="1"/>
                <w:iCs w:val="1"/>
                <w:sz w:val="22"/>
                <w:szCs w:val="22"/>
              </w:rPr>
            </w:pPr>
            <w:r w:rsidDel="00000000" w:rsidR="00000000" w:rsidRPr="00000000">
              <w:rPr>
                <w:i w:val="1"/>
                <w:iCs w:val="1"/>
                <w:sz w:val="22"/>
                <w:szCs w:val="22"/>
                <w:rtl w:val="0"/>
              </w:rPr>
              <w:t xml:space="preserve">4070* Campanula serrata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D0">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sz w:val="22"/>
                <w:szCs w:val="22"/>
              </w:rPr>
            </w:pPr>
            <w:r w:rsidDel="00000000" w:rsidR="00000000" w:rsidRPr="00000000">
              <w:rPr>
                <w:rtl w:val="0"/>
              </w:rPr>
            </w:r>
          </w:p>
          <w:p w:rsidR="00000000" w:rsidDel="00000000" w:rsidP="00000000" w:rsidRDefault="00000000" w:rsidRPr="00000000" w14:paraId="000000D3">
            <w:pPr>
              <w:spacing w:after="0" w:lineRule="auto"/>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spacing w:after="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D">
            <w:pPr>
              <w:spacing w:after="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E">
            <w:pPr>
              <w:spacing w:after="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F">
            <w:pPr>
              <w:spacing w:after="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1">
            <w:pPr>
              <w:spacing w:after="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3">
            <w:pPr>
              <w:spacing w:after="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4">
            <w:pPr>
              <w:spacing w:after="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4">
            <w:pPr>
              <w:spacing w:after="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7">
            <w:pPr>
              <w:spacing w:after="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8">
            <w:pPr>
              <w:spacing w:after="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EE">
            <w:pPr>
              <w:spacing w:after="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EF">
            <w:pPr>
              <w:spacing w:after="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0">
            <w:pPr>
              <w:spacing w:after="0" w:lineRule="auto"/>
              <w:jc w:val="both"/>
              <w:rPr>
                <w:i w:val="1"/>
                <w:iCs w:val="1"/>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F0">
            <w:pPr>
              <w:spacing w:after="0"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spacing w:after="0" w:line="259"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F3">
      <w:pPr>
        <w:rPr>
          <w:b w:val="1"/>
          <w:bCs w:val="1"/>
          <w:sz w:val="22"/>
          <w:szCs w:val="22"/>
        </w:rPr>
      </w:pPr>
      <w:r w:rsidDel="00000000" w:rsidR="00000000" w:rsidRPr="00000000">
        <w:rPr>
          <w:rtl w:val="0"/>
        </w:rPr>
      </w:r>
    </w:p>
    <w:p w:rsidR="00000000" w:rsidDel="00000000" w:rsidP="00000000" w:rsidRDefault="00000000" w:rsidRPr="00000000" w14:paraId="000000F4">
      <w:pPr>
        <w:rPr>
          <w:b w:val="1"/>
          <w:bCs w:val="1"/>
          <w:sz w:val="22"/>
          <w:szCs w:val="22"/>
        </w:rPr>
      </w:pPr>
      <w:r w:rsidDel="00000000" w:rsidR="00000000" w:rsidRPr="00000000">
        <w:rPr>
          <w:rtl w:val="0"/>
        </w:rPr>
      </w:r>
    </w:p>
    <w:p w:rsidR="00000000" w:rsidDel="00000000" w:rsidP="00000000" w:rsidRDefault="00000000" w:rsidRPr="00000000" w14:paraId="000000F5">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F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F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Dihoru G., Wallfisch R., Pîrvu C. 1984. Die Torfmoore „La lacuri“ von Bisoca (Kreis Buzău)</w:t>
      </w:r>
    </w:p>
    <w:p w:rsidR="00000000" w:rsidDel="00000000" w:rsidP="00000000" w:rsidRDefault="00000000" w:rsidRPr="00000000" w14:paraId="000000F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F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Ministerul Mediului Apelor si Padurilor 2021. Formularul Standard Natura 2000 al sitului ROSCI0009 Bisoca.</w:t>
      </w:r>
      <w:r w:rsidDel="00000000" w:rsidR="00000000" w:rsidRPr="00000000">
        <w:rPr>
          <w:rtl w:val="0"/>
        </w:rPr>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tzpc5coj4e9p"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octombrie 2024 - DS Buzău, 21 mai 2025 – Buzău.</w:t>
      </w:r>
    </w:p>
    <w:p w:rsidR="00000000" w:rsidDel="00000000" w:rsidP="00000000" w:rsidRDefault="00000000" w:rsidRPr="00000000" w14:paraId="0000010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 avut loc o consultare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Buzău.</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spacing w:line="24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b514b8m7gk0n"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Link: </w:t>
      </w:r>
      <w:hyperlink r:id="rId7">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08">
      <w:pPr>
        <w:jc w:val="both"/>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JDzCGGtHKIRzoiCgT2C+bAKJDw==">CgMxLjAyDmgudHBwb3MyZmVhdGJuMg5oLnR6cGM1Y29qNGU5cDIOaC5iNTE0YjhtN2drMG44AHIhMWlHTk9iXzIwSXFxQW8zbnBYYW5zcFhqRzh4czBXR2xo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